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433943" w14:textId="35299F06" w:rsidR="002B31FD" w:rsidRPr="002B31FD" w:rsidRDefault="002B31FD" w:rsidP="001C510A">
      <w:pPr>
        <w:pStyle w:val="Nagwek7"/>
        <w:rPr>
          <w:rFonts w:eastAsia="Times New Roman"/>
          <w:sz w:val="28"/>
        </w:rPr>
      </w:pPr>
      <w:r w:rsidRPr="002B31FD">
        <w:rPr>
          <w:rFonts w:eastAsia="Times New Roman"/>
          <w:sz w:val="28"/>
        </w:rPr>
        <w:t>Dieta wspierająca pamięć i funkcje poznawcze</w:t>
      </w:r>
    </w:p>
    <w:p w14:paraId="18C67AB4" w14:textId="77777777" w:rsidR="002B31FD" w:rsidRDefault="002B31F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00000001" w14:textId="77777777" w:rsidR="003706DD" w:rsidRPr="002B31FD" w:rsidRDefault="002B31FD">
      <w:p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Proces starzenia się ludzkiego organizmu jest nieodłącznym elementem naszego istnienia i wiąże się z pogorszeniem funkcji poznawczych. Od wieków poprzez liczne badania naukowe szukamy odpowiedzi na pytania dotyczące wpływu różnego rodzaju czynników na prawidłowe funkcjonowanie ludzkiego mózgu. W ostatnich latach coraz częściej podkreśla się szczególną rolę diety w tym jakże ważnym procesie. Oto lista składników odżywczych, które mogą wspierać pamięć oraz inne funkcje poznawcze:</w:t>
      </w:r>
    </w:p>
    <w:p w14:paraId="00000002" w14:textId="77777777" w:rsidR="003706DD" w:rsidRPr="002B31FD" w:rsidRDefault="003706DD">
      <w:p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3706DD" w:rsidRPr="002B31FD" w:rsidRDefault="002B31FD">
      <w:pPr>
        <w:numPr>
          <w:ilvl w:val="0"/>
          <w:numId w:val="9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b/>
          <w:bCs/>
          <w:sz w:val="24"/>
          <w:szCs w:val="24"/>
        </w:rPr>
        <w:t>Kwasy tłuszczowe omega-3</w:t>
      </w:r>
      <w:r w:rsidRPr="002B31FD">
        <w:rPr>
          <w:rFonts w:ascii="Calibri" w:eastAsia="Times New Roman" w:hAnsi="Calibri" w:cs="Calibri"/>
          <w:sz w:val="24"/>
          <w:szCs w:val="24"/>
        </w:rPr>
        <w:t xml:space="preserve"> - </w:t>
      </w:r>
      <w:r w:rsidRPr="002B31FD">
        <w:rPr>
          <w:rFonts w:ascii="Calibri" w:eastAsia="Times New Roman" w:hAnsi="Calibri" w:cs="Calibri"/>
          <w:i/>
          <w:iCs/>
          <w:sz w:val="24"/>
          <w:szCs w:val="24"/>
        </w:rPr>
        <w:t xml:space="preserve">kwas </w:t>
      </w:r>
      <w:proofErr w:type="spellStart"/>
      <w:r w:rsidRPr="002B31FD">
        <w:rPr>
          <w:rFonts w:ascii="Calibri" w:eastAsia="Times New Roman" w:hAnsi="Calibri" w:cs="Calibri"/>
          <w:i/>
          <w:iCs/>
          <w:sz w:val="24"/>
          <w:szCs w:val="24"/>
        </w:rPr>
        <w:t>eikozapentaenowy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r w:rsidRPr="002B31FD">
        <w:rPr>
          <w:rFonts w:ascii="Calibri" w:eastAsia="Times New Roman" w:hAnsi="Calibri" w:cs="Calibri"/>
          <w:i/>
          <w:iCs/>
          <w:sz w:val="24"/>
          <w:szCs w:val="24"/>
        </w:rPr>
        <w:t>(EPA)</w:t>
      </w:r>
      <w:r w:rsidRPr="002B31FD">
        <w:rPr>
          <w:rFonts w:ascii="Calibri" w:eastAsia="Times New Roman" w:hAnsi="Calibri" w:cs="Calibri"/>
          <w:sz w:val="24"/>
          <w:szCs w:val="24"/>
        </w:rPr>
        <w:t xml:space="preserve"> i </w:t>
      </w:r>
      <w:r w:rsidRPr="002B31FD">
        <w:rPr>
          <w:rFonts w:ascii="Calibri" w:eastAsia="Times New Roman" w:hAnsi="Calibri" w:cs="Calibri"/>
          <w:i/>
          <w:iCs/>
          <w:sz w:val="24"/>
          <w:szCs w:val="24"/>
        </w:rPr>
        <w:t xml:space="preserve">kwas </w:t>
      </w:r>
      <w:proofErr w:type="spellStart"/>
      <w:r w:rsidRPr="002B31FD">
        <w:rPr>
          <w:rFonts w:ascii="Calibri" w:eastAsia="Times New Roman" w:hAnsi="Calibri" w:cs="Calibri"/>
          <w:i/>
          <w:iCs/>
          <w:sz w:val="24"/>
          <w:szCs w:val="24"/>
        </w:rPr>
        <w:t>dokozaheksaenowy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r w:rsidRPr="002B31FD">
        <w:rPr>
          <w:rFonts w:ascii="Calibri" w:eastAsia="Times New Roman" w:hAnsi="Calibri" w:cs="Calibri"/>
          <w:i/>
          <w:iCs/>
          <w:sz w:val="24"/>
          <w:szCs w:val="24"/>
        </w:rPr>
        <w:t>(DHA)</w:t>
      </w:r>
    </w:p>
    <w:p w14:paraId="00000004" w14:textId="77777777" w:rsidR="003706DD" w:rsidRPr="002B31FD" w:rsidRDefault="002B31FD">
      <w:pPr>
        <w:numPr>
          <w:ilvl w:val="0"/>
          <w:numId w:val="2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wspierają pamięć;</w:t>
      </w:r>
    </w:p>
    <w:p w14:paraId="00000005" w14:textId="77777777" w:rsidR="003706DD" w:rsidRPr="002B31FD" w:rsidRDefault="002B31FD">
      <w:pPr>
        <w:numPr>
          <w:ilvl w:val="0"/>
          <w:numId w:val="2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mogą opóźniać postęp chorób przebiegających z demencją;</w:t>
      </w:r>
    </w:p>
    <w:p w14:paraId="00000006" w14:textId="77777777" w:rsidR="003706DD" w:rsidRPr="002B31FD" w:rsidRDefault="002B31FD">
      <w:pPr>
        <w:numPr>
          <w:ilvl w:val="0"/>
          <w:numId w:val="2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ich głównym źródłem są tłuste ryby morskie (m.in. śledź, łosoś, makrela, sardynki czy pstrąg tęczowy).</w:t>
      </w:r>
    </w:p>
    <w:p w14:paraId="00000007" w14:textId="77777777" w:rsidR="003706DD" w:rsidRPr="002B31FD" w:rsidRDefault="002B31FD">
      <w:pPr>
        <w:numPr>
          <w:ilvl w:val="0"/>
          <w:numId w:val="9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b/>
          <w:bCs/>
          <w:sz w:val="24"/>
          <w:szCs w:val="24"/>
        </w:rPr>
        <w:t>L-</w:t>
      </w:r>
      <w:proofErr w:type="spellStart"/>
      <w:r w:rsidRPr="002B31FD">
        <w:rPr>
          <w:rFonts w:ascii="Calibri" w:eastAsia="Times New Roman" w:hAnsi="Calibri" w:cs="Calibri"/>
          <w:b/>
          <w:bCs/>
          <w:sz w:val="24"/>
          <w:szCs w:val="24"/>
        </w:rPr>
        <w:t>teanina</w:t>
      </w:r>
      <w:proofErr w:type="spellEnd"/>
      <w:r w:rsidRPr="002B31FD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</w:p>
    <w:p w14:paraId="00000008" w14:textId="77777777" w:rsidR="003706DD" w:rsidRPr="002B31FD" w:rsidRDefault="002B31FD">
      <w:pPr>
        <w:numPr>
          <w:ilvl w:val="0"/>
          <w:numId w:val="4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zawarta w zielonej herbacie;</w:t>
      </w:r>
    </w:p>
    <w:p w14:paraId="00000009" w14:textId="77777777" w:rsidR="003706DD" w:rsidRPr="002B31FD" w:rsidRDefault="002B31FD">
      <w:pPr>
        <w:numPr>
          <w:ilvl w:val="0"/>
          <w:numId w:val="3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działa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neuroprotekcyjnie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i uspokajająco; </w:t>
      </w:r>
    </w:p>
    <w:p w14:paraId="0000000A" w14:textId="77777777" w:rsidR="003706DD" w:rsidRPr="002B31FD" w:rsidRDefault="002B31FD">
      <w:pPr>
        <w:numPr>
          <w:ilvl w:val="0"/>
          <w:numId w:val="3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w połączeniu z kofeiną poprawia pamięć, koncentrację oraz zdolności poznawcze; </w:t>
      </w:r>
    </w:p>
    <w:p w14:paraId="0000000B" w14:textId="77777777" w:rsidR="003706DD" w:rsidRPr="002B31FD" w:rsidRDefault="002B31FD">
      <w:pPr>
        <w:numPr>
          <w:ilvl w:val="0"/>
          <w:numId w:val="3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wpływa na lepszą jakości snu. </w:t>
      </w:r>
    </w:p>
    <w:p w14:paraId="0000000C" w14:textId="77777777" w:rsidR="003706DD" w:rsidRPr="002B31FD" w:rsidRDefault="002B31FD">
      <w:pPr>
        <w:numPr>
          <w:ilvl w:val="0"/>
          <w:numId w:val="9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proofErr w:type="spellStart"/>
      <w:r w:rsidRPr="002B31FD">
        <w:rPr>
          <w:rFonts w:ascii="Calibri" w:eastAsia="Times New Roman" w:hAnsi="Calibri" w:cs="Calibri"/>
          <w:b/>
          <w:bCs/>
          <w:sz w:val="24"/>
          <w:szCs w:val="24"/>
        </w:rPr>
        <w:t>Polifenole</w:t>
      </w:r>
      <w:proofErr w:type="spellEnd"/>
      <w:r w:rsidRPr="002B31FD">
        <w:rPr>
          <w:rFonts w:ascii="Calibri" w:eastAsia="Times New Roman" w:hAnsi="Calibri" w:cs="Calibri"/>
          <w:b/>
          <w:bCs/>
          <w:sz w:val="24"/>
          <w:szCs w:val="24"/>
        </w:rPr>
        <w:t xml:space="preserve"> </w:t>
      </w:r>
    </w:p>
    <w:p w14:paraId="0000000D" w14:textId="77777777" w:rsidR="003706DD" w:rsidRPr="002B31FD" w:rsidRDefault="002B31FD">
      <w:pPr>
        <w:numPr>
          <w:ilvl w:val="0"/>
          <w:numId w:val="6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chronią neurony przed uszkodzeniami będącymi wynikiem stresu oksydacyjnego;   </w:t>
      </w:r>
    </w:p>
    <w:p w14:paraId="0000000E" w14:textId="77777777" w:rsidR="003706DD" w:rsidRPr="002B31FD" w:rsidRDefault="002B31FD">
      <w:pPr>
        <w:numPr>
          <w:ilvl w:val="0"/>
          <w:numId w:val="11"/>
        </w:numPr>
        <w:spacing w:line="360" w:lineRule="auto"/>
        <w:jc w:val="both"/>
        <w:rPr>
          <w:rFonts w:ascii="Calibri" w:eastAsia="Times New Roman" w:hAnsi="Calibri" w:cs="Calibri"/>
          <w:i/>
          <w:iCs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zawarte m.in. w owocach o niskim indeksie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glikemicznym</w:t>
      </w:r>
      <w:proofErr w:type="spellEnd"/>
      <w:r w:rsidRPr="002B31FD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Pr="002B31FD">
        <w:rPr>
          <w:rFonts w:ascii="Calibri" w:eastAsia="Times New Roman" w:hAnsi="Calibri" w:cs="Calibri"/>
          <w:sz w:val="24"/>
          <w:szCs w:val="24"/>
        </w:rPr>
        <w:t xml:space="preserve">(np. maliny, jeżyny, aronia, czarne i czerwone porzeczki, wiśnie, borówki amerykańskie, czarny bez, truskawki, czarne jagody czy agrest). </w:t>
      </w:r>
    </w:p>
    <w:p w14:paraId="0000000F" w14:textId="77777777" w:rsidR="003706DD" w:rsidRPr="002B31FD" w:rsidRDefault="002B31FD">
      <w:pPr>
        <w:numPr>
          <w:ilvl w:val="0"/>
          <w:numId w:val="9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</w:rPr>
      </w:pPr>
      <w:r w:rsidRPr="002B31FD">
        <w:rPr>
          <w:rFonts w:ascii="Calibri" w:eastAsia="Times New Roman" w:hAnsi="Calibri" w:cs="Calibri"/>
          <w:b/>
          <w:bCs/>
          <w:sz w:val="24"/>
          <w:szCs w:val="24"/>
        </w:rPr>
        <w:t xml:space="preserve">Witamina D </w:t>
      </w:r>
    </w:p>
    <w:p w14:paraId="00000010" w14:textId="77777777" w:rsidR="003706DD" w:rsidRPr="002B31FD" w:rsidRDefault="002B31FD">
      <w:pPr>
        <w:numPr>
          <w:ilvl w:val="0"/>
          <w:numId w:val="12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wpływa na zdolności poznawcze, koncentrację oraz pamięć przestrzenną; </w:t>
      </w:r>
    </w:p>
    <w:p w14:paraId="00000011" w14:textId="77777777" w:rsidR="003706DD" w:rsidRPr="002B31FD" w:rsidRDefault="002B31FD">
      <w:pPr>
        <w:numPr>
          <w:ilvl w:val="0"/>
          <w:numId w:val="12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wykazuje działanie wspierające funkcjonowanie układu nerwowego; </w:t>
      </w:r>
    </w:p>
    <w:p w14:paraId="00000012" w14:textId="77777777" w:rsidR="003706DD" w:rsidRPr="002B31FD" w:rsidRDefault="002B31FD">
      <w:pPr>
        <w:numPr>
          <w:ilvl w:val="0"/>
          <w:numId w:val="12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głównym źródłem witaminy D dla ludzkiego organizmu jest jej synteza skórna, która zachodzi pod wpływem promieniowania słonecznego;</w:t>
      </w:r>
    </w:p>
    <w:p w14:paraId="00000013" w14:textId="77777777" w:rsidR="003706DD" w:rsidRPr="002B31FD" w:rsidRDefault="002B31FD">
      <w:pPr>
        <w:numPr>
          <w:ilvl w:val="0"/>
          <w:numId w:val="12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lastRenderedPageBreak/>
        <w:t xml:space="preserve">produkty będące dość dobrym źródłem witaminy D to m.in. tłuste ryby morskie, a także żółtko jaja kurzego. </w:t>
      </w:r>
    </w:p>
    <w:p w14:paraId="00000014" w14:textId="77777777" w:rsidR="003706DD" w:rsidRPr="002B31FD" w:rsidRDefault="002B31FD">
      <w:pPr>
        <w:numPr>
          <w:ilvl w:val="0"/>
          <w:numId w:val="9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</w:rPr>
      </w:pPr>
      <w:r w:rsidRPr="002B31FD">
        <w:rPr>
          <w:rFonts w:ascii="Calibri" w:eastAsia="Times New Roman" w:hAnsi="Calibri" w:cs="Calibri"/>
          <w:b/>
          <w:bCs/>
          <w:sz w:val="24"/>
          <w:szCs w:val="24"/>
        </w:rPr>
        <w:t xml:space="preserve">Witaminy z grupy B </w:t>
      </w:r>
    </w:p>
    <w:p w14:paraId="00000015" w14:textId="77777777" w:rsidR="003706DD" w:rsidRPr="002B31FD" w:rsidRDefault="002B31FD">
      <w:pPr>
        <w:numPr>
          <w:ilvl w:val="0"/>
          <w:numId w:val="7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zwłaszcza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foliany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>, witamina B6 oraz B12;</w:t>
      </w:r>
    </w:p>
    <w:p w14:paraId="00000016" w14:textId="77777777" w:rsidR="003706DD" w:rsidRPr="002B31FD" w:rsidRDefault="002B31FD">
      <w:pPr>
        <w:numPr>
          <w:ilvl w:val="0"/>
          <w:numId w:val="7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wpływają na dobre samopoczucie, koncentrację oraz warunkują prawidłowe funkcjonowanie układu nerwowego; </w:t>
      </w:r>
    </w:p>
    <w:p w14:paraId="00000017" w14:textId="77777777" w:rsidR="003706DD" w:rsidRPr="002B31FD" w:rsidRDefault="002B31FD">
      <w:pPr>
        <w:numPr>
          <w:ilvl w:val="0"/>
          <w:numId w:val="7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foliany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występują najobficiej w zielonych warzywach liściastych, nasionach roślin strączkowych, wątróbce oraz  jajkach;</w:t>
      </w:r>
    </w:p>
    <w:p w14:paraId="00000018" w14:textId="77777777" w:rsidR="003706DD" w:rsidRPr="002B31FD" w:rsidRDefault="002B31FD">
      <w:pPr>
        <w:numPr>
          <w:ilvl w:val="0"/>
          <w:numId w:val="10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najlepsze źródła witaminy B6 to: mięso, ryby, nasiona roślin strączkowych, orzechy, pełnoziarniste produkty zbożowe oraz ziemniaki;</w:t>
      </w:r>
    </w:p>
    <w:p w14:paraId="00000019" w14:textId="77777777" w:rsidR="003706DD" w:rsidRPr="002B31FD" w:rsidRDefault="002B31FD">
      <w:pPr>
        <w:numPr>
          <w:ilvl w:val="0"/>
          <w:numId w:val="10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źródłem witaminy B12 są produkty pochodzenia zwierzęcego takie jak: mięso, nabiał, ryby oraz jaja.</w:t>
      </w:r>
    </w:p>
    <w:p w14:paraId="0000001A" w14:textId="77777777" w:rsidR="003706DD" w:rsidRPr="002B31FD" w:rsidRDefault="002B31FD">
      <w:pPr>
        <w:numPr>
          <w:ilvl w:val="0"/>
          <w:numId w:val="9"/>
        </w:num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</w:rPr>
      </w:pPr>
      <w:r w:rsidRPr="002B31FD">
        <w:rPr>
          <w:rFonts w:ascii="Calibri" w:eastAsia="Times New Roman" w:hAnsi="Calibri" w:cs="Calibri"/>
          <w:b/>
          <w:bCs/>
          <w:sz w:val="24"/>
          <w:szCs w:val="24"/>
        </w:rPr>
        <w:t xml:space="preserve">Cynk </w:t>
      </w:r>
    </w:p>
    <w:p w14:paraId="0000001B" w14:textId="77777777" w:rsidR="003706DD" w:rsidRPr="002B31FD" w:rsidRDefault="002B31FD">
      <w:pPr>
        <w:numPr>
          <w:ilvl w:val="0"/>
          <w:numId w:val="8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wspiera odporność organizmu oraz jego funkcje poznawcze; </w:t>
      </w:r>
    </w:p>
    <w:p w14:paraId="0000001C" w14:textId="77777777" w:rsidR="003706DD" w:rsidRPr="002B31FD" w:rsidRDefault="002B31FD">
      <w:pPr>
        <w:numPr>
          <w:ilvl w:val="0"/>
          <w:numId w:val="8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źródła cynku to m.in. mięso, wątróbka, sery podpuszczkowe, jaja, pieczywo pełnoziarniste, kasza gryczana, orzechy, pestki dyni, siemię lniane, kakao.</w:t>
      </w:r>
    </w:p>
    <w:p w14:paraId="0000001D" w14:textId="77777777" w:rsidR="003706DD" w:rsidRPr="002B31FD" w:rsidRDefault="002B31FD">
      <w:pPr>
        <w:numPr>
          <w:ilvl w:val="0"/>
          <w:numId w:val="9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b/>
          <w:bCs/>
          <w:sz w:val="24"/>
          <w:szCs w:val="24"/>
        </w:rPr>
        <w:t xml:space="preserve">Magnez </w:t>
      </w:r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</w:p>
    <w:p w14:paraId="0000001E" w14:textId="77777777" w:rsidR="003706DD" w:rsidRPr="002B31FD" w:rsidRDefault="002B31FD">
      <w:pPr>
        <w:numPr>
          <w:ilvl w:val="0"/>
          <w:numId w:val="1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uczestniczy w przewodnictwie nerwowym;</w:t>
      </w:r>
    </w:p>
    <w:p w14:paraId="0000001F" w14:textId="77777777" w:rsidR="003706DD" w:rsidRPr="002B31FD" w:rsidRDefault="002B31FD">
      <w:pPr>
        <w:numPr>
          <w:ilvl w:val="0"/>
          <w:numId w:val="1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źródłem magnezu są pełnoziarniste produkty zbożowe, nasiona roślin strączkowych, orzechy, kakao, gorzka czekolada, sery podpuszczkowe, ryby, ziemniaki, niektóre owoce (np. banany) oraz wybrane warzywa (np. jarmuż, szpinak czy natka pietruszki). </w:t>
      </w:r>
    </w:p>
    <w:p w14:paraId="00000020" w14:textId="77777777" w:rsidR="003706DD" w:rsidRPr="002B31FD" w:rsidRDefault="003706DD">
      <w:p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0000021" w14:textId="77777777" w:rsidR="003706DD" w:rsidRPr="002B31FD" w:rsidRDefault="002B31FD">
      <w:pPr>
        <w:spacing w:line="360" w:lineRule="auto"/>
        <w:jc w:val="both"/>
        <w:rPr>
          <w:rFonts w:ascii="Calibri" w:eastAsia="Times New Roman" w:hAnsi="Calibri" w:cs="Calibri"/>
          <w:b/>
          <w:bCs/>
          <w:sz w:val="24"/>
          <w:szCs w:val="24"/>
        </w:rPr>
      </w:pPr>
      <w:r w:rsidRPr="002B31FD">
        <w:rPr>
          <w:rFonts w:ascii="Calibri" w:eastAsia="Times New Roman" w:hAnsi="Calibri" w:cs="Calibri"/>
          <w:b/>
          <w:bCs/>
          <w:sz w:val="24"/>
          <w:szCs w:val="24"/>
        </w:rPr>
        <w:t xml:space="preserve">Podsumowanie: </w:t>
      </w:r>
    </w:p>
    <w:p w14:paraId="00000022" w14:textId="77777777" w:rsidR="003706DD" w:rsidRPr="002B31FD" w:rsidRDefault="002B31FD">
      <w:p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Zdrowy styl życia ma kluczowe znaczenie dla prawidłowej pracy mózgu. Obejmuje on kilka podstawowych elementów: zbilansowaną dietę bogatą w witaminy, składniki mineralne, odpowiednie kwasy tłuszczowe i antyoksydanty, a także regularną aktywność fizyczną poprawiającą ukrwienie mózgu oraz odpowiednią ilość snu, która wspiera regenerację i procesy pamięciowe. Dodatkowo stymulowanie umysłu poprzez naukę nowych rzeczy, czytanie czy rozwiązywanie łamigłówek pomaga utrzymać sprawność poznawczą na wysokim poziomie.</w:t>
      </w:r>
    </w:p>
    <w:p w14:paraId="00000023" w14:textId="77777777" w:rsidR="003706DD" w:rsidRPr="002B31FD" w:rsidRDefault="003706DD">
      <w:p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115E16D9" w14:textId="4D2634AC" w:rsidR="002B31FD" w:rsidRPr="002B31FD" w:rsidRDefault="002B31FD">
      <w:p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lastRenderedPageBreak/>
        <w:t xml:space="preserve">Autorka tekstu: mgr Aneta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Nadłonek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>, Dział Dietetyki USK 4 w Lublinie</w:t>
      </w:r>
    </w:p>
    <w:p w14:paraId="4DBF939C" w14:textId="77777777" w:rsidR="002B31FD" w:rsidRPr="002B31FD" w:rsidRDefault="002B31FD">
      <w:p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0000024" w14:textId="77777777" w:rsidR="003706DD" w:rsidRPr="002B31FD" w:rsidRDefault="002B31FD">
      <w:p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>Bibliografia:</w:t>
      </w:r>
    </w:p>
    <w:p w14:paraId="00000025" w14:textId="77777777" w:rsidR="003706DD" w:rsidRPr="002B31FD" w:rsidRDefault="002B31FD">
      <w:pPr>
        <w:numPr>
          <w:ilvl w:val="0"/>
          <w:numId w:val="5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r w:rsidRPr="002B31FD">
        <w:rPr>
          <w:rFonts w:ascii="Calibri" w:eastAsia="Times New Roman" w:hAnsi="Calibri" w:cs="Calibri"/>
          <w:sz w:val="24"/>
          <w:szCs w:val="24"/>
        </w:rPr>
        <w:t xml:space="preserve">Mancini E. et al.: Green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tea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effects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on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cognition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,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mood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and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human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brain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function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: A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systematic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review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.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Phytomedicine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, 2017. </w:t>
      </w:r>
    </w:p>
    <w:p w14:paraId="00000026" w14:textId="77777777" w:rsidR="003706DD" w:rsidRPr="002B31FD" w:rsidRDefault="002B31FD">
      <w:pPr>
        <w:numPr>
          <w:ilvl w:val="0"/>
          <w:numId w:val="5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Figueira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I. et al.: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Polyphenols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Beyond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Barriers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: A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Glimpse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into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the Brain.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Curr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Neuropharmacol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, 2017. </w:t>
      </w:r>
    </w:p>
    <w:p w14:paraId="00000027" w14:textId="77777777" w:rsidR="003706DD" w:rsidRPr="002B31FD" w:rsidRDefault="002B31FD">
      <w:pPr>
        <w:numPr>
          <w:ilvl w:val="0"/>
          <w:numId w:val="5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Eyles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Walter Darryl.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Vitamin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D: Brain and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Behavior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>. JBMR Plus, 2021.</w:t>
      </w:r>
    </w:p>
    <w:p w14:paraId="00000028" w14:textId="77777777" w:rsidR="003706DD" w:rsidRPr="002B31FD" w:rsidRDefault="002B31FD">
      <w:pPr>
        <w:numPr>
          <w:ilvl w:val="0"/>
          <w:numId w:val="5"/>
        </w:num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Castelli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V. et al.: Diet and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brain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health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: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which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role for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polyphenols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?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Current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Pharmaceutical Design, 2018. </w:t>
      </w:r>
    </w:p>
    <w:p w14:paraId="00000029" w14:textId="77777777" w:rsidR="003706DD" w:rsidRPr="002B31FD" w:rsidRDefault="002B31FD">
      <w:pPr>
        <w:numPr>
          <w:ilvl w:val="0"/>
          <w:numId w:val="5"/>
        </w:numPr>
        <w:spacing w:line="390" w:lineRule="auto"/>
        <w:rPr>
          <w:rFonts w:ascii="Calibri" w:eastAsia="Times New Roman" w:hAnsi="Calibri" w:cs="Calibri"/>
          <w:sz w:val="24"/>
          <w:szCs w:val="24"/>
        </w:rPr>
      </w:pP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Szabo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-Red A., Key M.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Impact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of diet and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exercise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interventions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on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cognition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and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brain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health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in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older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adults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: a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narrative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review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. </w:t>
      </w:r>
      <w:proofErr w:type="spellStart"/>
      <w:r w:rsidRPr="002B31FD">
        <w:rPr>
          <w:rFonts w:ascii="Calibri" w:eastAsia="Times New Roman" w:hAnsi="Calibri" w:cs="Calibri"/>
          <w:sz w:val="24"/>
          <w:szCs w:val="24"/>
        </w:rPr>
        <w:t>Nutrients</w:t>
      </w:r>
      <w:proofErr w:type="spellEnd"/>
      <w:r w:rsidRPr="002B31FD">
        <w:rPr>
          <w:rFonts w:ascii="Calibri" w:eastAsia="Times New Roman" w:hAnsi="Calibri" w:cs="Calibri"/>
          <w:sz w:val="24"/>
          <w:szCs w:val="24"/>
        </w:rPr>
        <w:t xml:space="preserve">, 2023. </w:t>
      </w:r>
    </w:p>
    <w:p w14:paraId="0000002A" w14:textId="77777777" w:rsidR="003706DD" w:rsidRPr="002B31FD" w:rsidRDefault="003706DD">
      <w:pPr>
        <w:spacing w:line="360" w:lineRule="auto"/>
        <w:jc w:val="both"/>
        <w:rPr>
          <w:rFonts w:ascii="Calibri" w:eastAsia="Times New Roman" w:hAnsi="Calibri" w:cs="Calibri"/>
          <w:sz w:val="24"/>
          <w:szCs w:val="24"/>
        </w:rPr>
      </w:pPr>
    </w:p>
    <w:p w14:paraId="0000002B" w14:textId="77777777" w:rsidR="003706DD" w:rsidRDefault="003706D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3706DD" w:rsidRDefault="003706D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3706D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F33E9CF-AE1B-4FDD-861E-D704B8237E9D}"/>
    <w:embedBold r:id="rId2" w:fontKey="{FAAC2A1C-6E65-48E2-A4E2-C3544519075E}"/>
    <w:embedItalic r:id="rId3" w:fontKey="{BF8F62A6-756E-4124-8D60-94C75BB919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F75D553-4AB7-4609-A019-A6564C12381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D25F5"/>
    <w:multiLevelType w:val="multilevel"/>
    <w:tmpl w:val="C8F2652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B7168D1"/>
    <w:multiLevelType w:val="multilevel"/>
    <w:tmpl w:val="ECA2853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F7925B1"/>
    <w:multiLevelType w:val="multilevel"/>
    <w:tmpl w:val="5222383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36687699"/>
    <w:multiLevelType w:val="multilevel"/>
    <w:tmpl w:val="3BEE920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4260261F"/>
    <w:multiLevelType w:val="multilevel"/>
    <w:tmpl w:val="5CF4961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478B6B53"/>
    <w:multiLevelType w:val="multilevel"/>
    <w:tmpl w:val="293AE53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7A303FD"/>
    <w:multiLevelType w:val="multilevel"/>
    <w:tmpl w:val="81D44A1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551E28E4"/>
    <w:multiLevelType w:val="multilevel"/>
    <w:tmpl w:val="C7EC306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D846419"/>
    <w:multiLevelType w:val="multilevel"/>
    <w:tmpl w:val="A628D1D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028255F"/>
    <w:multiLevelType w:val="multilevel"/>
    <w:tmpl w:val="E15E9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35E64E0"/>
    <w:multiLevelType w:val="multilevel"/>
    <w:tmpl w:val="47D2B36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C956265"/>
    <w:multiLevelType w:val="multilevel"/>
    <w:tmpl w:val="0AF2249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7"/>
  </w:num>
  <w:num w:numId="5">
    <w:abstractNumId w:val="9"/>
  </w:num>
  <w:num w:numId="6">
    <w:abstractNumId w:val="10"/>
  </w:num>
  <w:num w:numId="7">
    <w:abstractNumId w:val="5"/>
  </w:num>
  <w:num w:numId="8">
    <w:abstractNumId w:val="2"/>
  </w:num>
  <w:num w:numId="9">
    <w:abstractNumId w:val="0"/>
  </w:num>
  <w:num w:numId="10">
    <w:abstractNumId w:val="11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6DD"/>
    <w:rsid w:val="001C510A"/>
    <w:rsid w:val="002B31FD"/>
    <w:rsid w:val="003706DD"/>
    <w:rsid w:val="0060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F824FB-723F-460D-B2E5-757EA0D9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2B31F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agwek7Znak">
    <w:name w:val="Nagłówek 7 Znak"/>
    <w:basedOn w:val="Domylnaczcionkaakapitu"/>
    <w:link w:val="Nagwek7"/>
    <w:uiPriority w:val="9"/>
    <w:rsid w:val="002B31FD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550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Antoń-Jucha Agnieszka</cp:lastModifiedBy>
  <cp:revision>2</cp:revision>
  <dcterms:created xsi:type="dcterms:W3CDTF">2026-03-31T11:41:00Z</dcterms:created>
  <dcterms:modified xsi:type="dcterms:W3CDTF">2026-03-31T11:41:00Z</dcterms:modified>
</cp:coreProperties>
</file>